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hint="default" w:eastAsia="宋体" w:cs="Arial"/>
          <w:b/>
          <w:sz w:val="24"/>
          <w:szCs w:val="24"/>
          <w:lang w:val="en-US" w:eastAsia="zh-CN"/>
        </w:rPr>
      </w:pPr>
      <w:r>
        <w:rPr>
          <w:rFonts w:cs="Arial"/>
          <w:b/>
          <w:bCs/>
          <w:sz w:val="24"/>
          <w:szCs w:val="24"/>
        </w:rPr>
        <w:t>3GPP TSG-RAN WG3 Meeting #119</w:t>
      </w:r>
      <w:r>
        <w:rPr>
          <w:rFonts w:hint="eastAsia" w:eastAsia="宋体" w:cs="Arial"/>
          <w:b/>
          <w:bCs/>
          <w:sz w:val="24"/>
          <w:szCs w:val="24"/>
          <w:lang w:val="en-US" w:eastAsia="zh-CN"/>
        </w:rPr>
        <w:t>bis-e</w:t>
      </w:r>
      <w:r>
        <w:rPr>
          <w:rFonts w:cs="Arial"/>
          <w:b/>
          <w:sz w:val="24"/>
          <w:szCs w:val="24"/>
        </w:rPr>
        <w:tab/>
      </w:r>
      <w:r>
        <w:rPr>
          <w:rFonts w:hint="eastAsia"/>
          <w:b/>
          <w:i/>
          <w:sz w:val="28"/>
        </w:rPr>
        <w:t>R3-23</w:t>
      </w:r>
      <w:r>
        <w:rPr>
          <w:rFonts w:hint="eastAsia" w:eastAsia="宋体"/>
          <w:b/>
          <w:i/>
          <w:sz w:val="28"/>
          <w:lang w:val="en-US" w:eastAsia="zh-CN"/>
        </w:rPr>
        <w:t>3276</w:t>
      </w:r>
      <w:bookmarkStart w:id="0" w:name="_GoBack"/>
      <w:bookmarkEnd w:id="0"/>
    </w:p>
    <w:p>
      <w:pPr>
        <w:pStyle w:val="15"/>
        <w:jc w:val="both"/>
        <w:rPr>
          <w:rFonts w:hint="eastAsia" w:eastAsia="宋体"/>
          <w:b/>
          <w:bCs w:val="0"/>
          <w:i w:val="0"/>
          <w:sz w:val="24"/>
        </w:rPr>
      </w:pPr>
      <w:r>
        <w:rPr>
          <w:rFonts w:hint="eastAsia" w:eastAsia="宋体"/>
          <w:b/>
          <w:bCs w:val="0"/>
          <w:i w:val="0"/>
          <w:sz w:val="24"/>
        </w:rPr>
        <w:t>Incheon, 22 May – 26 May 2023</w:t>
      </w:r>
    </w:p>
    <w:p>
      <w:pPr>
        <w:pStyle w:val="15"/>
        <w:jc w:val="both"/>
        <w:rPr>
          <w:rFonts w:eastAsia="宋体"/>
          <w:b w:val="0"/>
          <w:i w:val="0"/>
          <w:sz w:val="24"/>
        </w:rPr>
      </w:pPr>
    </w:p>
    <w:p>
      <w:pPr>
        <w:tabs>
          <w:tab w:val="left" w:pos="1985"/>
        </w:tabs>
        <w:ind w:left="1980" w:hanging="1980"/>
        <w:rPr>
          <w:rStyle w:val="74"/>
        </w:rPr>
      </w:pPr>
      <w:r>
        <w:rPr>
          <w:b/>
          <w:sz w:val="24"/>
        </w:rPr>
        <w:t>Title:</w:t>
      </w:r>
      <w:r>
        <w:rPr>
          <w:sz w:val="24"/>
        </w:rPr>
        <w:t xml:space="preserve"> </w:t>
      </w:r>
      <w:r>
        <w:rPr>
          <w:sz w:val="24"/>
        </w:rPr>
        <w:tab/>
      </w:r>
      <w:r>
        <w:rPr>
          <w:rFonts w:hint="eastAsia"/>
          <w:sz w:val="24"/>
        </w:rPr>
        <w:t>Discussion on QoE measurement in NR-DC</w:t>
      </w:r>
    </w:p>
    <w:p>
      <w:pPr>
        <w:tabs>
          <w:tab w:val="left" w:pos="1985"/>
        </w:tabs>
        <w:rPr>
          <w:rStyle w:val="74"/>
          <w:lang w:val="en-GB"/>
        </w:rPr>
      </w:pPr>
      <w:r>
        <w:rPr>
          <w:b/>
          <w:sz w:val="24"/>
        </w:rPr>
        <w:t xml:space="preserve">Source: </w:t>
      </w:r>
      <w:r>
        <w:rPr>
          <w:b/>
          <w:sz w:val="24"/>
        </w:rPr>
        <w:tab/>
      </w:r>
      <w:r>
        <w:rPr>
          <w:rFonts w:hint="eastAsia"/>
          <w:bCs/>
          <w:sz w:val="24"/>
        </w:rPr>
        <w:t>China Unicom</w:t>
      </w:r>
    </w:p>
    <w:p>
      <w:pPr>
        <w:tabs>
          <w:tab w:val="left" w:pos="1985"/>
        </w:tabs>
        <w:rPr>
          <w:rStyle w:val="74"/>
          <w:lang w:val="en-GB"/>
        </w:rPr>
      </w:pPr>
      <w:r>
        <w:rPr>
          <w:b/>
          <w:sz w:val="24"/>
        </w:rPr>
        <w:t>Agenda item:</w:t>
      </w:r>
      <w:r>
        <w:rPr>
          <w:sz w:val="24"/>
        </w:rPr>
        <w:tab/>
      </w:r>
      <w:r>
        <w:rPr>
          <w:rFonts w:hint="eastAsia"/>
          <w:sz w:val="24"/>
          <w:lang w:val="en-US"/>
        </w:rPr>
        <w:t>11</w:t>
      </w:r>
      <w:r>
        <w:rPr>
          <w:sz w:val="24"/>
        </w:rPr>
        <w:t>.3</w:t>
      </w:r>
    </w:p>
    <w:p>
      <w:pPr>
        <w:tabs>
          <w:tab w:val="left" w:pos="1985"/>
        </w:tabs>
        <w:ind w:left="1980" w:hanging="1980"/>
        <w:rPr>
          <w:rStyle w:val="74"/>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rPr>
            </w:pPr>
            <w:r>
              <w:rPr>
                <w:rFonts w:ascii="Times New Roman" w:hAnsi="Times New Roman"/>
                <w:bCs/>
              </w:rPr>
              <w:t>Specify to support for QoE in NR-DC, e.g. enable QoE reporting via SN [RAN3, RAN2].</w:t>
            </w:r>
          </w:p>
          <w:p>
            <w:pPr>
              <w:numPr>
                <w:ilvl w:val="0"/>
                <w:numId w:val="6"/>
              </w:numPr>
              <w:spacing w:after="0"/>
              <w:ind w:left="720" w:hanging="360"/>
              <w:rPr>
                <w:rFonts w:ascii="Times New Roman" w:hAnsi="Times New Roman"/>
                <w:bCs/>
              </w:rPr>
            </w:pPr>
            <w:r>
              <w:rPr>
                <w:rFonts w:ascii="Times New Roman" w:hAnsi="Times New Roman"/>
              </w:rPr>
              <w:t>Specify the QoE configuration,</w:t>
            </w:r>
            <w:r>
              <w:rPr>
                <w:rFonts w:ascii="Times New Roman" w:hAnsi="Times New Roman"/>
                <w:lang w:val="en-US"/>
              </w:rPr>
              <w:t xml:space="preserve"> and</w:t>
            </w:r>
            <w:r>
              <w:rPr>
                <w:rFonts w:ascii="Times New Roman" w:hAnsi="Times New Roman"/>
              </w:rPr>
              <w:t xml:space="preserve"> measurement reporting over MN/SN for NR-DC architecture, and specify the QoE measurement reporting over the other DC leg </w:t>
            </w:r>
            <w:r>
              <w:rPr>
                <w:rFonts w:ascii="Times New Roman" w:hAnsi="Times New Roman"/>
                <w:lang w:val="en-US"/>
              </w:rPr>
              <w:t>in order to maintain the reporting continuity</w:t>
            </w:r>
            <w:r>
              <w:rPr>
                <w:rFonts w:ascii="Times New Roman" w:hAnsi="Times New Roman"/>
              </w:rPr>
              <w:t>.</w:t>
            </w:r>
          </w:p>
          <w:p>
            <w:pPr>
              <w:spacing w:after="0"/>
              <w:ind w:left="720"/>
              <w:rPr>
                <w:rFonts w:ascii="Times New Roman" w:hAnsi="Times New Roman"/>
                <w:bCs/>
              </w:rPr>
            </w:pPr>
            <w:r>
              <w:rPr>
                <w:rFonts w:ascii="Times New Roman" w:hAnsi="Times New Roman"/>
                <w:bCs/>
              </w:rPr>
              <w:t>Note 1: The QoE measurements are not perform</w:t>
            </w:r>
            <w:r>
              <w:rPr>
                <w:rFonts w:ascii="Times New Roman" w:hAnsi="Times New Roman"/>
                <w:bCs/>
                <w:lang w:val="en-US"/>
              </w:rPr>
              <w:t>ed separately</w:t>
            </w:r>
            <w:r>
              <w:rPr>
                <w:rFonts w:ascii="Times New Roman" w:hAnsi="Times New Roman"/>
                <w:bCs/>
              </w:rPr>
              <w:t xml:space="preserve"> for </w:t>
            </w:r>
            <w:r>
              <w:rPr>
                <w:rFonts w:ascii="Times New Roman" w:hAnsi="Times New Roman"/>
                <w:bCs/>
                <w:lang w:val="en-US"/>
              </w:rPr>
              <w:t xml:space="preserve">each </w:t>
            </w:r>
            <w:r>
              <w:rPr>
                <w:rFonts w:ascii="Times New Roman" w:hAnsi="Times New Roman"/>
                <w:bCs/>
              </w:rPr>
              <w:t>leg.</w:t>
            </w:r>
          </w:p>
          <w:p>
            <w:pPr>
              <w:numPr>
                <w:ilvl w:val="0"/>
                <w:numId w:val="6"/>
              </w:numPr>
              <w:spacing w:after="0"/>
              <w:ind w:left="720" w:hanging="360"/>
              <w:rPr>
                <w:rFonts w:ascii="Times New Roman" w:hAnsi="Times New Roman"/>
                <w:bCs/>
              </w:rPr>
            </w:pPr>
            <w:r>
              <w:rPr>
                <w:rFonts w:ascii="Times New Roman" w:hAnsi="Times New Roman"/>
                <w:bCs/>
              </w:rPr>
              <w:t xml:space="preserve">Support RAN-visible </w:t>
            </w:r>
            <w:r>
              <w:rPr>
                <w:rFonts w:ascii="Times New Roman" w:hAnsi="Times New Roman"/>
                <w:bCs/>
                <w:lang w:val="en-US"/>
              </w:rPr>
              <w:t xml:space="preserve">QoE </w:t>
            </w:r>
            <w:r>
              <w:rPr>
                <w:rFonts w:ascii="Times New Roman" w:hAnsi="Times New Roman"/>
                <w:bCs/>
              </w:rPr>
              <w:t>and radio related measurement configuration and reporting in NR-DC scenarios.</w:t>
            </w:r>
          </w:p>
          <w:p>
            <w:pPr>
              <w:numPr>
                <w:ilvl w:val="0"/>
                <w:numId w:val="6"/>
              </w:numPr>
              <w:spacing w:after="0"/>
              <w:ind w:left="720" w:hanging="360"/>
              <w:rPr>
                <w:rFonts w:ascii="Times New Roman" w:hAnsi="Times New Roman"/>
                <w:bCs/>
              </w:rPr>
            </w:pPr>
            <w:r>
              <w:rPr>
                <w:rFonts w:ascii="Times New Roman" w:hAnsi="Times New Roman"/>
              </w:rPr>
              <w:t>Specify the QoE measurement continuity in mobility scenarios in NR-DC</w:t>
            </w:r>
            <w:r>
              <w:rPr>
                <w:rFonts w:ascii="Times New Roman" w:hAnsi="Times New Roman"/>
                <w:bCs/>
              </w:rPr>
              <w:t>.</w:t>
            </w:r>
          </w:p>
          <w:p>
            <w:pPr>
              <w:numPr>
                <w:ilvl w:val="0"/>
                <w:numId w:val="6"/>
              </w:numPr>
              <w:spacing w:after="0"/>
              <w:ind w:left="720" w:hanging="360"/>
              <w:rPr>
                <w:rFonts w:ascii="Times New Roman" w:hAnsi="Times New Roman"/>
                <w:sz w:val="21"/>
                <w:szCs w:val="21"/>
              </w:rPr>
            </w:pPr>
            <w:r>
              <w:rPr>
                <w:rFonts w:ascii="Times New Roman" w:hAnsi="Times New Roman"/>
              </w:rPr>
              <w:t>Specify the alignment of QoE</w:t>
            </w:r>
            <w:r>
              <w:rPr>
                <w:rFonts w:ascii="Times New Roman" w:hAnsi="Times New Roman"/>
                <w:lang w:val="en-US"/>
              </w:rPr>
              <w:t xml:space="preserve"> measurements (including legacy QoE and RAN visible QoE measurements)</w:t>
            </w:r>
            <w:r>
              <w:rPr>
                <w:rFonts w:ascii="Times New Roman" w:hAnsi="Times New Roman"/>
              </w:rPr>
              <w:t xml:space="preserve"> and radio related measurement in NR-DC</w:t>
            </w:r>
            <w:r>
              <w:rPr>
                <w:rFonts w:ascii="Times New Roman" w:hAnsi="Times New Roman"/>
                <w:bCs/>
              </w:rPr>
              <w:t>.</w:t>
            </w:r>
          </w:p>
        </w:tc>
      </w:tr>
    </w:tbl>
    <w:p>
      <w:pPr>
        <w:rPr>
          <w:rStyle w:val="43"/>
          <w:rFonts w:ascii="Times New Roman" w:hAnsi="Times New Roman" w:eastAsia="等线"/>
          <w:sz w:val="21"/>
          <w:szCs w:val="21"/>
          <w:lang w:val="en-GB"/>
        </w:rPr>
      </w:pPr>
    </w:p>
    <w:p>
      <w:pPr>
        <w:rPr>
          <w:rStyle w:val="43"/>
          <w:rFonts w:ascii="Times New Roman" w:hAnsi="Times New Roman" w:eastAsia="等线"/>
          <w:sz w:val="21"/>
          <w:szCs w:val="21"/>
        </w:rPr>
      </w:pPr>
      <w:r>
        <w:rPr>
          <w:rStyle w:val="43"/>
          <w:rFonts w:ascii="Times New Roman" w:hAnsi="Times New Roman"/>
          <w:sz w:val="21"/>
          <w:szCs w:val="21"/>
          <w:lang w:val="en-GB"/>
        </w:rPr>
        <w:t xml:space="preserve">This paper further discusses how to configure </w:t>
      </w:r>
      <w:r>
        <w:rPr>
          <w:rStyle w:val="43"/>
          <w:rFonts w:ascii="Times New Roman" w:hAnsi="Times New Roman" w:eastAsia="等线"/>
          <w:sz w:val="21"/>
          <w:szCs w:val="21"/>
        </w:rPr>
        <w:t>the QoE measurement and RAN-Visible Qo</w:t>
      </w:r>
      <w:r>
        <w:rPr>
          <w:rStyle w:val="43"/>
          <w:rFonts w:hint="eastAsia" w:ascii="Times New Roman" w:hAnsi="Times New Roman" w:eastAsia="等线"/>
          <w:sz w:val="21"/>
          <w:szCs w:val="21"/>
        </w:rPr>
        <w:t>E</w:t>
      </w:r>
      <w:r>
        <w:rPr>
          <w:rStyle w:val="43"/>
          <w:rFonts w:ascii="Times New Roman" w:hAnsi="Times New Roman" w:eastAsia="等线"/>
          <w:sz w:val="21"/>
          <w:szCs w:val="21"/>
        </w:rPr>
        <w:t xml:space="preserve"> measurement in </w:t>
      </w:r>
      <w:r>
        <w:rPr>
          <w:rStyle w:val="43"/>
          <w:rFonts w:hint="eastAsia" w:ascii="Times New Roman" w:hAnsi="Times New Roman" w:eastAsia="等线"/>
          <w:sz w:val="21"/>
          <w:szCs w:val="21"/>
        </w:rPr>
        <w:t>NR-DC</w:t>
      </w:r>
      <w:r>
        <w:rPr>
          <w:rStyle w:val="43"/>
          <w:rFonts w:ascii="Times New Roman" w:hAnsi="Times New Roman" w:eastAsia="等线"/>
          <w:sz w:val="21"/>
          <w:szCs w:val="21"/>
        </w:rPr>
        <w:t xml:space="preserve"> based on the agreements </w:t>
      </w:r>
      <w:r>
        <w:rPr>
          <w:rStyle w:val="43"/>
          <w:rFonts w:hint="eastAsia" w:ascii="Times New Roman" w:hAnsi="Times New Roman" w:eastAsia="等线"/>
          <w:sz w:val="21"/>
          <w:szCs w:val="21"/>
        </w:rPr>
        <w:t>and FFS of the previous meetings</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QoE configuration in NR-DC </w:t>
      </w: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In RAN3 #119bis meeting, it has the following agreement:</w:t>
      </w:r>
    </w:p>
    <w:p>
      <w:pPr>
        <w:spacing w:before="120" w:beforeAutospacing="0" w:after="0"/>
        <w:rPr>
          <w:rFonts w:ascii="Calibri" w:hAnsi="Calibri" w:cs="Calibri"/>
          <w:b/>
          <w:color w:val="008000"/>
          <w:sz w:val="18"/>
          <w:szCs w:val="20"/>
        </w:rPr>
      </w:pPr>
      <w:r>
        <w:rPr>
          <w:rStyle w:val="79"/>
          <w:rFonts w:ascii="Calibri" w:hAnsi="Calibri" w:cs="Calibri"/>
          <w:b/>
          <w:color w:val="008000"/>
          <w:sz w:val="18"/>
          <w:szCs w:val="20"/>
          <w:u w:val="none"/>
        </w:rPr>
        <w:t>Discuss which parameters the SN needs to indicate to the MN, to express its interest in configuring a UE with an m-based QoE measurement and the corresponding RVQoE measurement.</w:t>
      </w:r>
    </w:p>
    <w:p>
      <w:pPr>
        <w:rPr>
          <w:rFonts w:hint="default" w:ascii="Times New Roman" w:hAnsi="Times New Roman" w:eastAsia="等线" w:cs="Calibri"/>
          <w:bCs/>
          <w:sz w:val="22"/>
          <w:szCs w:val="22"/>
          <w:lang w:val="en-US" w:eastAsia="zh-CN" w:bidi="ar-SA"/>
        </w:rPr>
      </w:pP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If the m-based QoE configuration is received by the SN, the SN needs to indicate to the MN, to express its interest in configuring a UE with an m-based QoE measurement and the corresponding RVQoE measurement, and the MN will make the final decision for the QoE configuration. The SN can send the QoE reference ID and available RVQoE configuration to MN, and MN can make sure whether it also receives the same QoE configuration, if the configuration is also received by the MN, and MN already decide to send to the UE, it can send the reject message to SN, and if this QoE configuration is only received by the SN, and MN agreed that the SN can send the QoE configuration to UE, it can send the accept message to SN. According to the available QoE configuration send from the SN, the MN can generate the RVQoE configuration any time after the QoE configuration send to UE.</w:t>
      </w:r>
    </w:p>
    <w:p>
      <w:pPr>
        <w:rPr>
          <w:rFonts w:hint="eastAsia" w:ascii="Times New Roman" w:hAnsi="Times New Roman" w:eastAsia="等线" w:cs="Calibri"/>
          <w:bCs/>
          <w:sz w:val="22"/>
          <w:szCs w:val="22"/>
          <w:lang w:val="en-US" w:eastAsia="zh-CN" w:bidi="ar-SA"/>
        </w:rPr>
      </w:pPr>
    </w:p>
    <w:p>
      <w:pPr>
        <w:rPr>
          <w:rFonts w:hint="eastAsia" w:ascii="Times New Roman" w:hAnsi="Times New Roman" w:eastAsia="等线" w:cs="Calibri"/>
          <w:b/>
          <w:bCs w:val="0"/>
          <w:sz w:val="22"/>
          <w:szCs w:val="22"/>
          <w:lang w:val="en-US" w:eastAsia="zh-CN" w:bidi="ar-SA"/>
        </w:rPr>
      </w:pPr>
      <w:r>
        <w:rPr>
          <w:rFonts w:hint="eastAsia" w:ascii="Times New Roman" w:hAnsi="Times New Roman" w:eastAsia="等线" w:cs="Calibri"/>
          <w:b/>
          <w:bCs w:val="0"/>
          <w:sz w:val="22"/>
          <w:szCs w:val="22"/>
          <w:lang w:val="en-US" w:eastAsia="zh-CN" w:bidi="ar-SA"/>
        </w:rPr>
        <w:t>Proposal 1: To express SN</w:t>
      </w:r>
      <w:r>
        <w:rPr>
          <w:rFonts w:hint="default" w:ascii="Times New Roman" w:hAnsi="Times New Roman" w:eastAsia="等线" w:cs="Calibri"/>
          <w:b/>
          <w:bCs w:val="0"/>
          <w:sz w:val="22"/>
          <w:szCs w:val="22"/>
          <w:lang w:val="en-US" w:eastAsia="zh-CN" w:bidi="ar-SA"/>
        </w:rPr>
        <w:t>’</w:t>
      </w:r>
      <w:r>
        <w:rPr>
          <w:rFonts w:hint="eastAsia" w:ascii="Times New Roman" w:hAnsi="Times New Roman" w:eastAsia="等线" w:cs="Calibri"/>
          <w:b/>
          <w:bCs w:val="0"/>
          <w:sz w:val="22"/>
          <w:szCs w:val="22"/>
          <w:lang w:val="en-US" w:eastAsia="zh-CN" w:bidi="ar-SA"/>
        </w:rPr>
        <w:t>s interest in configuring a UE with an m-based QoE measurement, the QoE reference ID need to be indicate to MN.</w:t>
      </w:r>
    </w:p>
    <w:p>
      <w:pPr>
        <w:rPr>
          <w:rFonts w:hint="default" w:ascii="Times New Roman" w:hAnsi="Times New Roman" w:eastAsia="等线" w:cs="Calibri"/>
          <w:b/>
          <w:bCs w:val="0"/>
          <w:sz w:val="22"/>
          <w:szCs w:val="22"/>
          <w:lang w:val="en-US" w:eastAsia="zh-CN" w:bidi="ar-SA"/>
        </w:rPr>
      </w:pPr>
      <w:r>
        <w:rPr>
          <w:rFonts w:hint="eastAsia" w:ascii="Times New Roman" w:hAnsi="Times New Roman" w:eastAsia="等线" w:cs="Calibri"/>
          <w:b/>
          <w:bCs w:val="0"/>
          <w:sz w:val="22"/>
          <w:szCs w:val="22"/>
          <w:lang w:val="en-US" w:eastAsia="zh-CN" w:bidi="ar-SA"/>
        </w:rPr>
        <w:t>Proposal 2: The SN can send the available RVQoE metrics to MN, the MN can generate the RVQoE configuration any time after the QoE configuration send to UE.</w:t>
      </w:r>
    </w:p>
    <w:p>
      <w:pPr>
        <w:rPr>
          <w:rFonts w:hint="default" w:ascii="Times New Roman" w:hAnsi="Times New Roman" w:eastAsia="等线"/>
          <w:b/>
          <w:bCs/>
          <w:sz w:val="22"/>
          <w:szCs w:val="22"/>
          <w:lang w:val="en-US" w:eastAsia="zh-CN"/>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Rel-17, the RVQoE configuration is configured according the available RVQoE metrics send</w:t>
      </w:r>
      <w:r>
        <w:rPr>
          <w:rFonts w:ascii="Times New Roman" w:hAnsi="Times New Roman" w:eastAsia="等线"/>
          <w:bCs/>
          <w:sz w:val="22"/>
          <w:szCs w:val="22"/>
          <w:lang w:val="en-US"/>
        </w:rPr>
        <w:t>ing</w:t>
      </w:r>
      <w:r>
        <w:rPr>
          <w:rFonts w:hint="eastAsia" w:ascii="Times New Roman" w:hAnsi="Times New Roman" w:eastAsia="等线"/>
          <w:bCs/>
          <w:sz w:val="22"/>
          <w:szCs w:val="22"/>
          <w:lang w:val="en-US"/>
        </w:rPr>
        <w:t xml:space="preserve"> from OAM/AMF, for NR-DC scenario, both the MN and SN need to generate the RVQoE configurations, so the available  RVQoE metrics should be send to the other node during the RVQoE configuration coordination.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The node that received the QoE configuration from the AMF/OAM can send to the other node the list of available RVQoE metrics during RVQoE configuration coordination.</w:t>
      </w:r>
    </w:p>
    <w:p>
      <w:pPr>
        <w:rPr>
          <w:rFonts w:hint="default" w:ascii="Times New Roman" w:hAnsi="Times New Roman" w:eastAsia="等线"/>
          <w:b/>
          <w:bCs/>
          <w:sz w:val="22"/>
          <w:szCs w:val="22"/>
          <w:lang w:val="en-US" w:eastAsia="zh-CN"/>
        </w:rPr>
      </w:pPr>
    </w:p>
    <w:p>
      <w:pPr>
        <w:rPr>
          <w:rFonts w:hint="eastAsia"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In R17, RAN visible QoE is configured with separate periodicity, and will not be paused even though the corresponding non RAN visible application layer measurement reporting is paused. Since RAN visible QoE is configured by the gNB according to the gNB</w:t>
      </w:r>
      <w:r>
        <w:rPr>
          <w:rFonts w:hint="default" w:ascii="Times New Roman" w:hAnsi="Times New Roman" w:eastAsia="等线" w:cs="Times New Roman"/>
          <w:bCs/>
          <w:sz w:val="22"/>
          <w:szCs w:val="22"/>
          <w:lang w:val="en-US" w:eastAsia="zh-CN"/>
        </w:rPr>
        <w:t>’</w:t>
      </w:r>
      <w:r>
        <w:rPr>
          <w:rFonts w:hint="eastAsia" w:ascii="Times New Roman" w:hAnsi="Times New Roman" w:eastAsia="等线" w:cs="Times New Roman"/>
          <w:bCs/>
          <w:sz w:val="22"/>
          <w:szCs w:val="22"/>
          <w:lang w:val="en-US" w:eastAsia="zh-CN"/>
        </w:rPr>
        <w:t>s requirements. For the RVQoE coordination between MN and SN, it has the following concern:</w:t>
      </w:r>
    </w:p>
    <w:p>
      <w:pPr>
        <w:numPr>
          <w:ilvl w:val="0"/>
          <w:numId w:val="7"/>
        </w:numPr>
        <w:ind w:left="420" w:leftChars="0" w:firstLine="0" w:firstLineChars="0"/>
        <w:rPr>
          <w:rFonts w:hint="default"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MN and SN have the different interests for the RVQoE metrics for it</w:t>
      </w:r>
      <w:r>
        <w:rPr>
          <w:rFonts w:hint="default" w:ascii="Times New Roman" w:hAnsi="Times New Roman" w:eastAsia="等线" w:cs="Times New Roman"/>
          <w:bCs/>
          <w:sz w:val="22"/>
          <w:szCs w:val="22"/>
          <w:lang w:val="en-US" w:eastAsia="zh-CN"/>
        </w:rPr>
        <w:t>’</w:t>
      </w:r>
      <w:r>
        <w:rPr>
          <w:rFonts w:hint="eastAsia" w:ascii="Times New Roman" w:hAnsi="Times New Roman" w:eastAsia="等线" w:cs="Times New Roman"/>
          <w:bCs/>
          <w:sz w:val="22"/>
          <w:szCs w:val="22"/>
          <w:lang w:val="en-US" w:eastAsia="zh-CN"/>
        </w:rPr>
        <w:t>s own optimization;</w:t>
      </w:r>
    </w:p>
    <w:p>
      <w:pPr>
        <w:numPr>
          <w:ilvl w:val="0"/>
          <w:numId w:val="7"/>
        </w:numPr>
        <w:ind w:left="420" w:leftChars="0" w:firstLine="0" w:firstLineChars="0"/>
        <w:rPr>
          <w:rFonts w:hint="default"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Since the cell status and resource status for MN and SN are different, the MN and SN may want to configure the RVQoE in different time;</w:t>
      </w:r>
    </w:p>
    <w:p>
      <w:pPr>
        <w:numPr>
          <w:ilvl w:val="0"/>
          <w:numId w:val="7"/>
        </w:numPr>
        <w:ind w:left="420" w:leftChars="0" w:firstLine="0" w:firstLineChars="0"/>
        <w:rPr>
          <w:rFonts w:hint="default"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MN and SN may want to configure the RVQoE for different periodicity and different trigger condition.</w:t>
      </w:r>
    </w:p>
    <w:p>
      <w:pPr>
        <w:numPr>
          <w:ilvl w:val="0"/>
          <w:numId w:val="0"/>
        </w:numPr>
        <w:rPr>
          <w:rFonts w:hint="default"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Considering the above concerns, it is hard to coordinate the RVQoE configuration for MN and SN, one RVQoE configuration can</w:t>
      </w:r>
      <w:r>
        <w:rPr>
          <w:rFonts w:hint="default" w:ascii="Times New Roman" w:hAnsi="Times New Roman" w:eastAsia="等线" w:cs="Times New Roman"/>
          <w:bCs/>
          <w:sz w:val="22"/>
          <w:szCs w:val="22"/>
          <w:lang w:val="en-US" w:eastAsia="zh-CN"/>
        </w:rPr>
        <w:t>’</w:t>
      </w:r>
      <w:r>
        <w:rPr>
          <w:rFonts w:hint="eastAsia" w:ascii="Times New Roman" w:hAnsi="Times New Roman" w:eastAsia="等线" w:cs="Times New Roman"/>
          <w:bCs/>
          <w:sz w:val="22"/>
          <w:szCs w:val="22"/>
          <w:lang w:val="en-US" w:eastAsia="zh-CN"/>
        </w:rPr>
        <w:t>t satisfy the requirements for both MN and SN.</w:t>
      </w:r>
    </w:p>
    <w:p>
      <w:pPr>
        <w:rPr>
          <w:rFonts w:hint="default"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In the previous RAN3 meetings, RAN3 had agreed that both the MN and SN can generate and send the RVQoE configuration to UE, it is preferred that the MN and SN can generate the separate RVQoE configuration and send to UE any time after the encapsulated QoE configuration send to UE separately.</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4: For a UE in NR-DC, MN and SN can have separate RVQoE configurations for each QoE configuration.</w:t>
      </w:r>
    </w:p>
    <w:p>
      <w:pPr>
        <w:rPr>
          <w:rFonts w:hint="default" w:ascii="Times New Roman" w:hAnsi="Times New Roman" w:eastAsia="等线"/>
          <w:b/>
          <w:bCs/>
          <w:sz w:val="22"/>
          <w:szCs w:val="22"/>
          <w:lang w:val="en-US" w:eastAsia="zh-CN"/>
        </w:rPr>
      </w:pPr>
    </w:p>
    <w:p>
      <w:pPr>
        <w:pStyle w:val="3"/>
        <w:ind w:left="1134" w:hanging="1134"/>
        <w:rPr>
          <w:rFonts w:eastAsia="宋体" w:cs="Times New Roman"/>
          <w:sz w:val="24"/>
          <w:szCs w:val="20"/>
          <w:lang w:val="en-US"/>
        </w:rPr>
      </w:pPr>
      <w:r>
        <w:rPr>
          <w:rFonts w:hint="eastAsia" w:eastAsia="宋体" w:cs="Times New Roman"/>
          <w:sz w:val="24"/>
          <w:szCs w:val="20"/>
          <w:lang w:val="en-US" w:eastAsia="zh-CN"/>
        </w:rPr>
        <w:t xml:space="preserve"> </w:t>
      </w:r>
      <w:r>
        <w:rPr>
          <w:rFonts w:hint="eastAsia" w:eastAsia="宋体" w:cs="Times New Roman"/>
          <w:sz w:val="24"/>
          <w:szCs w:val="20"/>
          <w:lang w:val="en-US"/>
        </w:rPr>
        <w:t xml:space="preserve">QoE reporting in NR-DC </w:t>
      </w:r>
    </w:p>
    <w:p>
      <w:pPr>
        <w:rPr>
          <w:rFonts w:hint="eastAsia"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I</w:t>
      </w:r>
      <w:r>
        <w:rPr>
          <w:rFonts w:ascii="Times New Roman" w:hAnsi="Times New Roman" w:eastAsia="等线"/>
          <w:bCs/>
          <w:sz w:val="22"/>
          <w:szCs w:val="22"/>
          <w:highlight w:val="none"/>
        </w:rPr>
        <w:t>n RAN overload scenario, the configured node does not have enough resources to provide the UE reporting its QoE report, and another leg may help the situation</w:t>
      </w:r>
      <w:r>
        <w:rPr>
          <w:rFonts w:hint="eastAsia" w:ascii="Times New Roman" w:hAnsi="Times New Roman" w:eastAsia="等线"/>
          <w:bCs/>
          <w:sz w:val="22"/>
          <w:szCs w:val="22"/>
          <w:highlight w:val="none"/>
          <w:lang w:val="en-US" w:eastAsia="zh-CN"/>
        </w:rPr>
        <w:t xml:space="preserve"> through the leg switch from one leg to another leg. Considering the flexibility for the leg switch of the QoE reporting, and considering the minimum impacts for current specification, it is preferred to indicate the UE for leg switch per QoE reference.</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w:t>
      </w:r>
      <w:r>
        <w:rPr>
          <w:rFonts w:hint="eastAsia" w:ascii="Times New Roman" w:hAnsi="Times New Roman" w:eastAsia="等线"/>
          <w:b/>
          <w:sz w:val="22"/>
          <w:szCs w:val="22"/>
          <w:lang w:val="en-US" w:eastAsia="zh-CN"/>
        </w:rPr>
        <w:t>leg switch can be indicated to UE per QoE reference.</w:t>
      </w:r>
      <w:r>
        <w:rPr>
          <w:rFonts w:hint="eastAsia" w:ascii="Times New Roman" w:hAnsi="Times New Roman" w:eastAsia="等线"/>
          <w:b/>
          <w:sz w:val="22"/>
          <w:szCs w:val="22"/>
          <w:lang w:val="en-US"/>
        </w:rPr>
        <w:t xml:space="preserve"> </w:t>
      </w:r>
    </w:p>
    <w:p>
      <w:pPr>
        <w:rPr>
          <w:rFonts w:hint="default" w:ascii="Times New Roman" w:hAnsi="Times New Roman" w:eastAsia="等线"/>
          <w:b/>
          <w:sz w:val="22"/>
          <w:szCs w:val="22"/>
          <w:lang w:val="en-US" w:eastAsia="zh-CN"/>
        </w:rPr>
      </w:pPr>
    </w:p>
    <w:p>
      <w:pPr>
        <w:rPr>
          <w:rFonts w:hint="eastAsia"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The coordination procedure between MN and SN should be supported when MN and SN overload, the node which is overload should initiate the coordination procedure, and the peer node can admit the QoE measurements report according to it</w:t>
      </w:r>
      <w:r>
        <w:rPr>
          <w:rFonts w:hint="default" w:ascii="Times New Roman" w:hAnsi="Times New Roman" w:eastAsia="等线"/>
          <w:bCs/>
          <w:sz w:val="22"/>
          <w:szCs w:val="22"/>
          <w:highlight w:val="none"/>
          <w:lang w:val="en-US" w:eastAsia="zh-CN"/>
        </w:rPr>
        <w:t>’</w:t>
      </w:r>
      <w:r>
        <w:rPr>
          <w:rFonts w:hint="eastAsia" w:ascii="Times New Roman" w:hAnsi="Times New Roman" w:eastAsia="等线"/>
          <w:bCs/>
          <w:sz w:val="22"/>
          <w:szCs w:val="22"/>
          <w:highlight w:val="none"/>
          <w:lang w:val="en-US" w:eastAsia="zh-CN"/>
        </w:rPr>
        <w:t>s own uplink resource status, and which message can be used for the coordination procedure. In last RAN3 meeting, RAN3 have the following agreements:</w:t>
      </w:r>
    </w:p>
    <w:p>
      <w:pPr>
        <w:spacing w:before="120" w:beforeAutospacing="0" w:after="0"/>
        <w:rPr>
          <w:rStyle w:val="79"/>
          <w:rFonts w:ascii="Calibri" w:hAnsi="Calibri" w:cs="Calibri"/>
          <w:b/>
          <w:color w:val="008000"/>
          <w:sz w:val="18"/>
          <w:szCs w:val="20"/>
          <w:u w:val="none"/>
        </w:rPr>
      </w:pPr>
      <w:r>
        <w:rPr>
          <w:rStyle w:val="79"/>
          <w:rFonts w:ascii="Calibri" w:hAnsi="Calibri" w:cs="Calibri"/>
          <w:b/>
          <w:color w:val="008000"/>
          <w:sz w:val="18"/>
          <w:szCs w:val="20"/>
          <w:u w:val="none"/>
        </w:rPr>
        <w:t>The node that currently receives the QoE reports via the Uu can send a request to the peer node, asking that the QoE reporting leg is switched to the peer node.</w:t>
      </w:r>
    </w:p>
    <w:p>
      <w:pPr>
        <w:spacing w:before="120" w:beforeAutospacing="0" w:after="0"/>
        <w:rPr>
          <w:rFonts w:ascii="Calibri" w:hAnsi="Calibri" w:cs="Calibri"/>
          <w:b/>
          <w:color w:val="008000"/>
          <w:sz w:val="18"/>
          <w:szCs w:val="20"/>
        </w:rPr>
      </w:pPr>
      <w:r>
        <w:rPr>
          <w:rStyle w:val="79"/>
          <w:rFonts w:ascii="Calibri" w:hAnsi="Calibri" w:cs="Calibri"/>
          <w:b/>
          <w:color w:val="008000"/>
          <w:sz w:val="18"/>
          <w:szCs w:val="20"/>
          <w:u w:val="none"/>
        </w:rPr>
        <w:t>The leg switch for QoE reporting needs to be approved by both nodes serving the UE.</w:t>
      </w:r>
    </w:p>
    <w:p>
      <w:pPr>
        <w:rPr>
          <w:rFonts w:hint="default" w:ascii="Times New Roman" w:hAnsi="Times New Roman" w:eastAsia="等线"/>
          <w:bCs/>
          <w:sz w:val="22"/>
          <w:szCs w:val="22"/>
          <w:highlight w:val="none"/>
          <w:lang w:val="en-US" w:eastAsia="zh-CN"/>
        </w:rPr>
      </w:pPr>
    </w:p>
    <w:p>
      <w:pPr>
        <w:rPr>
          <w:rFonts w:hint="default"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 xml:space="preserve">The node that currently received the QoE reports via Uu send the coordination request message to the peer node, the QoE reference list for which QoE reports the source node want to coordinate to peer node should be included in the coordination request message. Then the peer node can accept all the QoE reports or parts of the QoE report to be send via itself, and send the coordination response message to the source node. </w:t>
      </w:r>
    </w:p>
    <w:p>
      <w:pPr>
        <w:rPr>
          <w:rFonts w:ascii="Times New Roman" w:hAnsi="Times New Roman" w:eastAsia="等线"/>
          <w:b/>
          <w:bCs/>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eastAsia="zh-CN"/>
        </w:rPr>
        <w:t>QoE report coordination request message should be send from the node that currently receives the QoE reports, include the QoE reference list it want to send via the peer node</w:t>
      </w:r>
      <w:r>
        <w:rPr>
          <w:rFonts w:ascii="Times New Roman" w:hAnsi="Times New Roman" w:eastAsia="等线"/>
          <w:b/>
          <w:bCs/>
          <w:sz w:val="22"/>
          <w:szCs w:val="22"/>
          <w:lang w:val="en-US"/>
        </w:rPr>
        <w:t>.</w:t>
      </w:r>
    </w:p>
    <w:p>
      <w:pPr>
        <w:rPr>
          <w:rFonts w:hint="default" w:ascii="Times New Roman" w:hAnsi="Times New Roman" w:eastAsia="等线"/>
          <w:b/>
          <w:bCs/>
          <w:sz w:val="22"/>
          <w:szCs w:val="22"/>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For RAN overload scenario, QoE report coordination response message should be send from peer node to indicate all the QoE reports or parts of the QoE reports can be coordinated to the peer node.</w:t>
      </w:r>
    </w:p>
    <w:p>
      <w:pPr>
        <w:rPr>
          <w:rFonts w:ascii="Times New Roman" w:hAnsi="Times New Roman" w:eastAsia="等线"/>
          <w:bCs/>
          <w:sz w:val="22"/>
          <w:szCs w:val="22"/>
        </w:rPr>
      </w:pPr>
      <w:r>
        <w:rPr>
          <w:rFonts w:ascii="Times New Roman" w:hAnsi="Times New Roman" w:eastAsia="等线"/>
          <w:bCs/>
          <w:sz w:val="22"/>
          <w:szCs w:val="22"/>
        </w:rPr>
        <w:t xml:space="preserve"> </w:t>
      </w:r>
    </w:p>
    <w:p>
      <w:pPr>
        <w:rPr>
          <w:rFonts w:hint="eastAsia"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In the previous meetings, RAN3 have the following agreements:</w:t>
      </w:r>
    </w:p>
    <w:p>
      <w:pPr>
        <w:spacing w:before="120" w:beforeAutospacing="0" w:after="0"/>
        <w:rPr>
          <w:rStyle w:val="79"/>
          <w:rFonts w:ascii="Calibri" w:hAnsi="Calibri" w:eastAsia="宋体" w:cs="Calibri"/>
          <w:b/>
          <w:color w:val="008000"/>
          <w:sz w:val="18"/>
          <w:szCs w:val="20"/>
          <w:u w:val="none"/>
          <w:lang w:eastAsia="en-US"/>
        </w:rPr>
      </w:pPr>
      <w:r>
        <w:rPr>
          <w:rStyle w:val="79"/>
          <w:rFonts w:hint="eastAsia" w:ascii="Calibri" w:hAnsi="Calibri" w:eastAsia="宋体" w:cs="Calibri"/>
          <w:b/>
          <w:color w:val="008000"/>
          <w:sz w:val="18"/>
          <w:szCs w:val="20"/>
          <w:u w:val="none"/>
          <w:lang w:eastAsia="en-US"/>
        </w:rPr>
        <w:t>UE can send RVQoE report to MN, MN then forward the RVQoE report to SN if needed, and vice versa.</w:t>
      </w:r>
    </w:p>
    <w:p>
      <w:pPr>
        <w:spacing w:before="120" w:beforeAutospacing="0" w:after="0"/>
        <w:rPr>
          <w:rFonts w:ascii="Calibri" w:hAnsi="Calibri" w:cs="Calibri"/>
          <w:b/>
          <w:color w:val="008000"/>
          <w:sz w:val="18"/>
          <w:szCs w:val="20"/>
        </w:rPr>
      </w:pPr>
      <w:r>
        <w:rPr>
          <w:rStyle w:val="79"/>
          <w:rFonts w:ascii="Calibri" w:hAnsi="Calibri" w:cs="Calibri"/>
          <w:b/>
          <w:color w:val="008000"/>
          <w:sz w:val="18"/>
          <w:szCs w:val="20"/>
          <w:u w:val="none"/>
        </w:rPr>
        <w:t>If the SRB5 is not configured, the RVQoE reports can be sent on the SRB4 from the UE via the MN to the SN.</w:t>
      </w:r>
    </w:p>
    <w:p>
      <w:pPr>
        <w:rPr>
          <w:rFonts w:hint="default"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According to the agreements, the RVQoE reports can be send between MN and SN, and it is better to use the current RRC Transfer procedure to transmit the RVQoE reports.</w:t>
      </w:r>
    </w:p>
    <w:p>
      <w:pPr>
        <w:rPr>
          <w:rFonts w:hint="default" w:eastAsia="宋体"/>
          <w:lang w:val="en-US" w:eastAsia="zh-CN"/>
        </w:rPr>
      </w:pP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Proposal 8: RRC Transfer procedure can be considered to transfer the RVQoE report between MN and SN.</w:t>
      </w:r>
    </w:p>
    <w:p>
      <w:pPr>
        <w:rPr>
          <w:rFonts w:ascii="Times New Roman" w:hAnsi="Times New Roman" w:eastAsia="等线"/>
          <w:b/>
          <w:sz w:val="22"/>
          <w:szCs w:val="22"/>
          <w:lang w:val="en-US"/>
        </w:rPr>
      </w:pPr>
    </w:p>
    <w:p>
      <w:pPr>
        <w:pStyle w:val="3"/>
        <w:ind w:left="1134" w:hanging="1134"/>
        <w:rPr>
          <w:rFonts w:hint="eastAsia" w:eastAsia="宋体" w:cs="Times New Roman"/>
          <w:sz w:val="24"/>
          <w:szCs w:val="20"/>
          <w:lang w:val="en-US"/>
        </w:rPr>
      </w:pPr>
      <w:r>
        <w:rPr>
          <w:rFonts w:hint="eastAsia" w:eastAsia="宋体" w:cs="Times New Roman"/>
          <w:sz w:val="24"/>
          <w:szCs w:val="20"/>
          <w:lang w:val="en-US" w:eastAsia="zh-CN"/>
        </w:rPr>
        <w:t>A</w:t>
      </w:r>
      <w:r>
        <w:rPr>
          <w:rFonts w:hint="eastAsia" w:eastAsia="宋体" w:cs="Times New Roman"/>
          <w:sz w:val="24"/>
          <w:szCs w:val="20"/>
          <w:lang w:val="en-US"/>
        </w:rPr>
        <w:t>lignment of QoE measurements</w:t>
      </w:r>
      <w:r>
        <w:rPr>
          <w:rFonts w:hint="eastAsia" w:eastAsia="宋体" w:cs="Times New Roman"/>
          <w:sz w:val="24"/>
          <w:szCs w:val="20"/>
          <w:lang w:val="en-US" w:eastAsia="zh-CN"/>
        </w:rPr>
        <w:t xml:space="preserve"> and radio related measurement in NR-DC</w:t>
      </w:r>
    </w:p>
    <w:p>
      <w:pPr>
        <w:rPr>
          <w:rFonts w:hint="default" w:ascii="Times New Roman" w:hAnsi="Times New Roman" w:cs="Times New Roman"/>
          <w:highlight w:val="none"/>
          <w:lang w:val="en-US" w:eastAsia="zh-CN"/>
        </w:rPr>
      </w:pPr>
      <w:r>
        <w:rPr>
          <w:rFonts w:hint="eastAsia" w:ascii="Times New Roman" w:hAnsi="Times New Roman" w:cs="Times New Roman"/>
          <w:lang w:val="en-US" w:eastAsia="zh-CN"/>
        </w:rPr>
        <w:t xml:space="preserve">In R17, the NG-RAN Trace ID of MDT will send to gNB in QoE configuration, the NG-RAN node includes the MDT session identifiers (Trace Reference and Trace Recording Session Reference) to the corresponding QoE report  for </w:t>
      </w:r>
      <w:r>
        <w:rPr>
          <w:rFonts w:hint="eastAsia" w:ascii="Times New Roman" w:hAnsi="Times New Roman" w:cs="Times New Roman"/>
          <w:highlight w:val="none"/>
          <w:lang w:val="en-US" w:eastAsia="zh-CN"/>
        </w:rPr>
        <w:t xml:space="preserve">correlation. In R18, For the </w:t>
      </w:r>
      <w:r>
        <w:rPr>
          <w:rFonts w:hint="eastAsia" w:ascii="Times New Roman" w:hAnsi="Times New Roman" w:eastAsia="宋体" w:cs="Times New Roman"/>
          <w:highlight w:val="none"/>
          <w:lang w:val="en-US" w:eastAsia="zh-CN"/>
        </w:rPr>
        <w:t xml:space="preserve">alignment of QoE measurements and radio related measurement </w:t>
      </w:r>
      <w:r>
        <w:rPr>
          <w:rFonts w:hint="eastAsia" w:ascii="Times New Roman" w:hAnsi="Times New Roman" w:cs="Times New Roman"/>
          <w:highlight w:val="none"/>
          <w:lang w:val="en-US" w:eastAsia="zh-CN"/>
        </w:rPr>
        <w:t xml:space="preserve">in NR-DC, how to correlate the QoE report with both MN and SN MDT report should be discussed. </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9: In NR-DC, how to correlate the QoE report with MDT report of both MN and SN should be discussed.</w:t>
      </w:r>
    </w:p>
    <w:p>
      <w:pPr>
        <w:rPr>
          <w:rFonts w:hint="eastAsia"/>
          <w:lang w:val="en-US"/>
        </w:rPr>
      </w:pPr>
    </w:p>
    <w:p>
      <w:pPr>
        <w:pStyle w:val="2"/>
        <w:rPr>
          <w:rFonts w:eastAsia="宋体"/>
        </w:rPr>
      </w:pPr>
      <w:r>
        <w:rPr>
          <w:rFonts w:eastAsia="宋体"/>
        </w:rPr>
        <w:t>Conclusion</w:t>
      </w:r>
    </w:p>
    <w:p>
      <w:pPr>
        <w:rPr>
          <w:rFonts w:hint="eastAsia" w:ascii="Times New Roman" w:hAnsi="Times New Roman" w:eastAsia="等线" w:cs="Calibri"/>
          <w:b/>
          <w:bCs w:val="0"/>
          <w:sz w:val="22"/>
          <w:szCs w:val="22"/>
          <w:lang w:val="en-US" w:eastAsia="zh-CN" w:bidi="ar-SA"/>
        </w:rPr>
      </w:pPr>
      <w:r>
        <w:rPr>
          <w:rFonts w:hint="eastAsia" w:ascii="Times New Roman" w:hAnsi="Times New Roman" w:eastAsia="等线" w:cs="Calibri"/>
          <w:b/>
          <w:bCs w:val="0"/>
          <w:sz w:val="22"/>
          <w:szCs w:val="22"/>
          <w:lang w:val="en-US" w:eastAsia="zh-CN" w:bidi="ar-SA"/>
        </w:rPr>
        <w:t>Proposal 1: To express SN</w:t>
      </w:r>
      <w:r>
        <w:rPr>
          <w:rFonts w:hint="default" w:ascii="Times New Roman" w:hAnsi="Times New Roman" w:eastAsia="等线" w:cs="Calibri"/>
          <w:b/>
          <w:bCs w:val="0"/>
          <w:sz w:val="22"/>
          <w:szCs w:val="22"/>
          <w:lang w:val="en-US" w:eastAsia="zh-CN" w:bidi="ar-SA"/>
        </w:rPr>
        <w:t>’</w:t>
      </w:r>
      <w:r>
        <w:rPr>
          <w:rFonts w:hint="eastAsia" w:ascii="Times New Roman" w:hAnsi="Times New Roman" w:eastAsia="等线" w:cs="Calibri"/>
          <w:b/>
          <w:bCs w:val="0"/>
          <w:sz w:val="22"/>
          <w:szCs w:val="22"/>
          <w:lang w:val="en-US" w:eastAsia="zh-CN" w:bidi="ar-SA"/>
        </w:rPr>
        <w:t>s interest in configuring a UE with an m-based QoE measurement, the QoE reference ID need to be indicate to MN.</w:t>
      </w:r>
    </w:p>
    <w:p>
      <w:pPr>
        <w:rPr>
          <w:rFonts w:hint="default" w:ascii="Times New Roman" w:hAnsi="Times New Roman" w:eastAsia="等线" w:cs="Calibri"/>
          <w:b/>
          <w:bCs w:val="0"/>
          <w:sz w:val="22"/>
          <w:szCs w:val="22"/>
          <w:lang w:val="en-US" w:eastAsia="zh-CN" w:bidi="ar-SA"/>
        </w:rPr>
      </w:pPr>
      <w:r>
        <w:rPr>
          <w:rFonts w:hint="eastAsia" w:ascii="Times New Roman" w:hAnsi="Times New Roman" w:eastAsia="等线" w:cs="Calibri"/>
          <w:b/>
          <w:bCs w:val="0"/>
          <w:sz w:val="22"/>
          <w:szCs w:val="22"/>
          <w:lang w:val="en-US" w:eastAsia="zh-CN" w:bidi="ar-SA"/>
        </w:rPr>
        <w:t>Proposal 2: The SN can send the available RVQoE metrics to MN, the MN can generate the RVQoE configuration any time after the QoE configuration send to UE.</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The node that received the QoE configuration from the AMF/OAM can send to the other node the list of available RVQoE metrics during RVQoE configuration coordination.</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4: For a UE in NR-DC, MN and SN can have separate RVQoE configurations for each QoE configuration.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w:t>
      </w:r>
      <w:r>
        <w:rPr>
          <w:rFonts w:hint="eastAsia" w:ascii="Times New Roman" w:hAnsi="Times New Roman" w:eastAsia="等线"/>
          <w:b/>
          <w:sz w:val="22"/>
          <w:szCs w:val="22"/>
          <w:lang w:val="en-US" w:eastAsia="zh-CN"/>
        </w:rPr>
        <w:t>leg switch can be indicated to UE per QoE reference.</w:t>
      </w:r>
      <w:r>
        <w:rPr>
          <w:rFonts w:hint="eastAsia" w:ascii="Times New Roman" w:hAnsi="Times New Roman" w:eastAsia="等线"/>
          <w:b/>
          <w:sz w:val="22"/>
          <w:szCs w:val="22"/>
          <w:lang w:val="en-US"/>
        </w:rPr>
        <w:t xml:space="preserve"> </w:t>
      </w:r>
    </w:p>
    <w:p>
      <w:pPr>
        <w:rPr>
          <w:rFonts w:ascii="Times New Roman" w:hAnsi="Times New Roman" w:eastAsia="等线"/>
          <w:b/>
          <w:bCs/>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eastAsia="zh-CN"/>
        </w:rPr>
        <w:t>QoE report coordination request message should be send from the node that currently receives the QoE reports, include the QoE reference list it want to send via the peer node</w:t>
      </w:r>
      <w:r>
        <w:rPr>
          <w:rFonts w:ascii="Times New Roman" w:hAnsi="Times New Roman" w:eastAsia="等线"/>
          <w:b/>
          <w:bCs/>
          <w:sz w:val="22"/>
          <w:szCs w:val="22"/>
          <w:lang w:val="en-US"/>
        </w:rPr>
        <w:t>.</w:t>
      </w:r>
    </w:p>
    <w:p>
      <w:pPr>
        <w:rPr>
          <w:rFonts w:hint="default" w:ascii="Times New Roman" w:hAnsi="Times New Roman" w:eastAsia="等线"/>
          <w:b/>
          <w:bCs/>
          <w:sz w:val="22"/>
          <w:szCs w:val="22"/>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For RAN overload scenario, QoE report coordination response message should be send from peer node to indicate all the QoE reports or parts of the QoE reports can be coordinated to the peer node.</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Proposal 8: RRC Transfer procedure can be considered to transfer the RVQoE report between MN and SN.</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9: In NR-DC, how to correlate the QoE report with MDT report of both MN and SN should be discussed.</w:t>
      </w:r>
    </w:p>
    <w:p>
      <w:pPr>
        <w:rPr>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C47BBCA"/>
    <w:multiLevelType w:val="singleLevel"/>
    <w:tmpl w:val="0C47BBCA"/>
    <w:lvl w:ilvl="0" w:tentative="0">
      <w:start w:val="1"/>
      <w:numFmt w:val="lowerLetter"/>
      <w:suff w:val="space"/>
      <w:lvlText w:val="%1)"/>
      <w:lvlJc w:val="left"/>
      <w:pPr>
        <w:ind w:left="420"/>
      </w:pPr>
    </w:lvl>
  </w:abstractNum>
  <w:abstractNum w:abstractNumId="3">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3EE4"/>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488B"/>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8800AA"/>
    <w:rsid w:val="01953CF4"/>
    <w:rsid w:val="01FF420C"/>
    <w:rsid w:val="02BE4901"/>
    <w:rsid w:val="02BE598D"/>
    <w:rsid w:val="03102EAD"/>
    <w:rsid w:val="03823CCE"/>
    <w:rsid w:val="04752218"/>
    <w:rsid w:val="04806B7E"/>
    <w:rsid w:val="05C55C2E"/>
    <w:rsid w:val="061B0606"/>
    <w:rsid w:val="0637581D"/>
    <w:rsid w:val="063F7AB5"/>
    <w:rsid w:val="07564B65"/>
    <w:rsid w:val="082E5B31"/>
    <w:rsid w:val="08CD339C"/>
    <w:rsid w:val="08CF208F"/>
    <w:rsid w:val="08F31921"/>
    <w:rsid w:val="091907C8"/>
    <w:rsid w:val="093667F2"/>
    <w:rsid w:val="09542584"/>
    <w:rsid w:val="09D72C99"/>
    <w:rsid w:val="0A491491"/>
    <w:rsid w:val="0AC71EE3"/>
    <w:rsid w:val="0B5F6E5D"/>
    <w:rsid w:val="0BA63FBF"/>
    <w:rsid w:val="0BD95AE1"/>
    <w:rsid w:val="0C1C61E1"/>
    <w:rsid w:val="0C303ECB"/>
    <w:rsid w:val="0C8655D1"/>
    <w:rsid w:val="0E1D4901"/>
    <w:rsid w:val="0E9E384F"/>
    <w:rsid w:val="0F525467"/>
    <w:rsid w:val="0F8B024A"/>
    <w:rsid w:val="0FDA68AA"/>
    <w:rsid w:val="111F41C0"/>
    <w:rsid w:val="11A502B5"/>
    <w:rsid w:val="125A4EAA"/>
    <w:rsid w:val="12A02E80"/>
    <w:rsid w:val="12B23BCF"/>
    <w:rsid w:val="13270AC8"/>
    <w:rsid w:val="13392E6D"/>
    <w:rsid w:val="134342A3"/>
    <w:rsid w:val="144C30DB"/>
    <w:rsid w:val="14576AE2"/>
    <w:rsid w:val="14764DB5"/>
    <w:rsid w:val="15EF77C6"/>
    <w:rsid w:val="166824B4"/>
    <w:rsid w:val="16E46B93"/>
    <w:rsid w:val="17060160"/>
    <w:rsid w:val="18650326"/>
    <w:rsid w:val="193623D1"/>
    <w:rsid w:val="197A336A"/>
    <w:rsid w:val="19E57B15"/>
    <w:rsid w:val="1A145EE5"/>
    <w:rsid w:val="1A5D4B06"/>
    <w:rsid w:val="1B545DD1"/>
    <w:rsid w:val="1C06768E"/>
    <w:rsid w:val="1C1E5D3E"/>
    <w:rsid w:val="1D2241D4"/>
    <w:rsid w:val="1D43574A"/>
    <w:rsid w:val="1D634F0F"/>
    <w:rsid w:val="1F8B4261"/>
    <w:rsid w:val="1F9B7FFA"/>
    <w:rsid w:val="1FA54280"/>
    <w:rsid w:val="219B1BEF"/>
    <w:rsid w:val="226E17EF"/>
    <w:rsid w:val="229E0E8F"/>
    <w:rsid w:val="22C20E17"/>
    <w:rsid w:val="22C9418D"/>
    <w:rsid w:val="23154713"/>
    <w:rsid w:val="23917DB2"/>
    <w:rsid w:val="23C925DD"/>
    <w:rsid w:val="242F2C13"/>
    <w:rsid w:val="24E56C29"/>
    <w:rsid w:val="257139A1"/>
    <w:rsid w:val="265E296E"/>
    <w:rsid w:val="27DF4678"/>
    <w:rsid w:val="28247D16"/>
    <w:rsid w:val="283D4410"/>
    <w:rsid w:val="295419DA"/>
    <w:rsid w:val="29E56D4B"/>
    <w:rsid w:val="29FE4971"/>
    <w:rsid w:val="2A2806F3"/>
    <w:rsid w:val="2A463335"/>
    <w:rsid w:val="2A947DE8"/>
    <w:rsid w:val="2AA22934"/>
    <w:rsid w:val="2AC43948"/>
    <w:rsid w:val="2B28065B"/>
    <w:rsid w:val="2B345733"/>
    <w:rsid w:val="2B3F72B2"/>
    <w:rsid w:val="2B4F306B"/>
    <w:rsid w:val="2B7259B8"/>
    <w:rsid w:val="2BDB354D"/>
    <w:rsid w:val="2CE03230"/>
    <w:rsid w:val="2E177FDB"/>
    <w:rsid w:val="2E462A06"/>
    <w:rsid w:val="2E6A74B4"/>
    <w:rsid w:val="2E6D0438"/>
    <w:rsid w:val="2F157F4A"/>
    <w:rsid w:val="2F6621DF"/>
    <w:rsid w:val="2FB510EC"/>
    <w:rsid w:val="2FC32F68"/>
    <w:rsid w:val="30761D31"/>
    <w:rsid w:val="30BA3ED1"/>
    <w:rsid w:val="30BE3A29"/>
    <w:rsid w:val="30CB71E3"/>
    <w:rsid w:val="31204968"/>
    <w:rsid w:val="327117F0"/>
    <w:rsid w:val="32FA3EC5"/>
    <w:rsid w:val="332350B4"/>
    <w:rsid w:val="33EA35AD"/>
    <w:rsid w:val="353A0AAB"/>
    <w:rsid w:val="357339D9"/>
    <w:rsid w:val="35A10BB2"/>
    <w:rsid w:val="36273A23"/>
    <w:rsid w:val="362B08C7"/>
    <w:rsid w:val="362E7B8F"/>
    <w:rsid w:val="36310C28"/>
    <w:rsid w:val="36792C62"/>
    <w:rsid w:val="368461D9"/>
    <w:rsid w:val="36F40202"/>
    <w:rsid w:val="37166B78"/>
    <w:rsid w:val="376A5776"/>
    <w:rsid w:val="37EF2E51"/>
    <w:rsid w:val="3822721A"/>
    <w:rsid w:val="38C079AD"/>
    <w:rsid w:val="38C9453B"/>
    <w:rsid w:val="392D14D4"/>
    <w:rsid w:val="39411259"/>
    <w:rsid w:val="39796DCB"/>
    <w:rsid w:val="3AE31128"/>
    <w:rsid w:val="3B674128"/>
    <w:rsid w:val="3BF646CD"/>
    <w:rsid w:val="3C7209A7"/>
    <w:rsid w:val="3CA45F55"/>
    <w:rsid w:val="3CB75A2A"/>
    <w:rsid w:val="3CED5BAF"/>
    <w:rsid w:val="3E71782D"/>
    <w:rsid w:val="3F486CE9"/>
    <w:rsid w:val="3F5546BC"/>
    <w:rsid w:val="3F684F93"/>
    <w:rsid w:val="3FC41C51"/>
    <w:rsid w:val="3FE27CDB"/>
    <w:rsid w:val="3FED4319"/>
    <w:rsid w:val="401B58E0"/>
    <w:rsid w:val="40F82F02"/>
    <w:rsid w:val="422C2522"/>
    <w:rsid w:val="42AC253D"/>
    <w:rsid w:val="43266FB8"/>
    <w:rsid w:val="43AC0714"/>
    <w:rsid w:val="43AC6997"/>
    <w:rsid w:val="43E26D2A"/>
    <w:rsid w:val="44EE7080"/>
    <w:rsid w:val="44F745CF"/>
    <w:rsid w:val="451C4FB1"/>
    <w:rsid w:val="453B1CD3"/>
    <w:rsid w:val="455517CB"/>
    <w:rsid w:val="457825E4"/>
    <w:rsid w:val="459F465A"/>
    <w:rsid w:val="46432FE7"/>
    <w:rsid w:val="4693423A"/>
    <w:rsid w:val="46AE0DDA"/>
    <w:rsid w:val="4701694A"/>
    <w:rsid w:val="47072496"/>
    <w:rsid w:val="471A7B91"/>
    <w:rsid w:val="47275B26"/>
    <w:rsid w:val="47A47339"/>
    <w:rsid w:val="47B36DD3"/>
    <w:rsid w:val="47D5208C"/>
    <w:rsid w:val="47D80000"/>
    <w:rsid w:val="48C63DF7"/>
    <w:rsid w:val="48C77CED"/>
    <w:rsid w:val="494E3DC0"/>
    <w:rsid w:val="49823E03"/>
    <w:rsid w:val="4B3833FC"/>
    <w:rsid w:val="4B766B51"/>
    <w:rsid w:val="4C1134F9"/>
    <w:rsid w:val="4D6250F1"/>
    <w:rsid w:val="4DAE57E3"/>
    <w:rsid w:val="4E2646EA"/>
    <w:rsid w:val="4EBC6B68"/>
    <w:rsid w:val="4F114EFD"/>
    <w:rsid w:val="4F71072F"/>
    <w:rsid w:val="4FAD5B31"/>
    <w:rsid w:val="4FF614FC"/>
    <w:rsid w:val="50473316"/>
    <w:rsid w:val="507351DD"/>
    <w:rsid w:val="513D08B7"/>
    <w:rsid w:val="514903C3"/>
    <w:rsid w:val="5191417F"/>
    <w:rsid w:val="51DC14C4"/>
    <w:rsid w:val="51ED116C"/>
    <w:rsid w:val="523A7C7F"/>
    <w:rsid w:val="52B6455F"/>
    <w:rsid w:val="52DD19BB"/>
    <w:rsid w:val="531829B6"/>
    <w:rsid w:val="531942AD"/>
    <w:rsid w:val="545123F3"/>
    <w:rsid w:val="549C38C8"/>
    <w:rsid w:val="54EC4684"/>
    <w:rsid w:val="54F64263"/>
    <w:rsid w:val="551303A1"/>
    <w:rsid w:val="56362637"/>
    <w:rsid w:val="56EA0AB1"/>
    <w:rsid w:val="574122DC"/>
    <w:rsid w:val="575D3263"/>
    <w:rsid w:val="576D087E"/>
    <w:rsid w:val="57835EA0"/>
    <w:rsid w:val="57951174"/>
    <w:rsid w:val="58335A5D"/>
    <w:rsid w:val="58807BDE"/>
    <w:rsid w:val="58D871AE"/>
    <w:rsid w:val="596C02F9"/>
    <w:rsid w:val="59BC4ED0"/>
    <w:rsid w:val="59E5080C"/>
    <w:rsid w:val="59EF1AD9"/>
    <w:rsid w:val="59FA2872"/>
    <w:rsid w:val="5A101373"/>
    <w:rsid w:val="5A2C7526"/>
    <w:rsid w:val="5A8D3A63"/>
    <w:rsid w:val="5A9D3EE7"/>
    <w:rsid w:val="5AC805F8"/>
    <w:rsid w:val="5AEC74F8"/>
    <w:rsid w:val="5B7079CB"/>
    <w:rsid w:val="5BC11016"/>
    <w:rsid w:val="5BD762C4"/>
    <w:rsid w:val="5C7143C6"/>
    <w:rsid w:val="5CC8203E"/>
    <w:rsid w:val="5CED4F6D"/>
    <w:rsid w:val="5CF862C6"/>
    <w:rsid w:val="5D1464A5"/>
    <w:rsid w:val="5D5C1E8F"/>
    <w:rsid w:val="5D5E4DB7"/>
    <w:rsid w:val="5DF77DE0"/>
    <w:rsid w:val="5E1955EB"/>
    <w:rsid w:val="5E4A6AD5"/>
    <w:rsid w:val="5E7023B2"/>
    <w:rsid w:val="5F0F7504"/>
    <w:rsid w:val="5FC553F9"/>
    <w:rsid w:val="606210AF"/>
    <w:rsid w:val="60A93A22"/>
    <w:rsid w:val="60C3026A"/>
    <w:rsid w:val="617B2260"/>
    <w:rsid w:val="619F3B34"/>
    <w:rsid w:val="624C4A0C"/>
    <w:rsid w:val="629F20B6"/>
    <w:rsid w:val="62A10176"/>
    <w:rsid w:val="63062E48"/>
    <w:rsid w:val="63097D09"/>
    <w:rsid w:val="639221EC"/>
    <w:rsid w:val="640139DD"/>
    <w:rsid w:val="64205924"/>
    <w:rsid w:val="64654323"/>
    <w:rsid w:val="64B516AE"/>
    <w:rsid w:val="65803F95"/>
    <w:rsid w:val="65B91104"/>
    <w:rsid w:val="660C196D"/>
    <w:rsid w:val="6669436A"/>
    <w:rsid w:val="66CE5C6A"/>
    <w:rsid w:val="66FB3B9A"/>
    <w:rsid w:val="676A48B2"/>
    <w:rsid w:val="67A06F8C"/>
    <w:rsid w:val="67B54588"/>
    <w:rsid w:val="67DD6DAE"/>
    <w:rsid w:val="67F95DDB"/>
    <w:rsid w:val="680F3235"/>
    <w:rsid w:val="684B3447"/>
    <w:rsid w:val="689D062F"/>
    <w:rsid w:val="69862E6A"/>
    <w:rsid w:val="69A17C70"/>
    <w:rsid w:val="69CD0BDF"/>
    <w:rsid w:val="69E87B42"/>
    <w:rsid w:val="69EC32FE"/>
    <w:rsid w:val="69FA2796"/>
    <w:rsid w:val="6B9F6E13"/>
    <w:rsid w:val="6BB87C7D"/>
    <w:rsid w:val="6BE50B5D"/>
    <w:rsid w:val="6C2548E3"/>
    <w:rsid w:val="6CEB7969"/>
    <w:rsid w:val="6CEE7C83"/>
    <w:rsid w:val="6DA4006D"/>
    <w:rsid w:val="6DB25003"/>
    <w:rsid w:val="6DDB620D"/>
    <w:rsid w:val="6FA50228"/>
    <w:rsid w:val="6FDB386D"/>
    <w:rsid w:val="6FF67743"/>
    <w:rsid w:val="711E0693"/>
    <w:rsid w:val="729D729D"/>
    <w:rsid w:val="72D958AB"/>
    <w:rsid w:val="735B2D57"/>
    <w:rsid w:val="74272B19"/>
    <w:rsid w:val="74346EAC"/>
    <w:rsid w:val="743D3AC4"/>
    <w:rsid w:val="74516EE2"/>
    <w:rsid w:val="74D63C4F"/>
    <w:rsid w:val="76616E61"/>
    <w:rsid w:val="76A03DCF"/>
    <w:rsid w:val="77042BC8"/>
    <w:rsid w:val="77A33DD6"/>
    <w:rsid w:val="788C4C80"/>
    <w:rsid w:val="78A13E89"/>
    <w:rsid w:val="78D31F49"/>
    <w:rsid w:val="791259C0"/>
    <w:rsid w:val="79F65D09"/>
    <w:rsid w:val="7AC91CFF"/>
    <w:rsid w:val="7B2A4C01"/>
    <w:rsid w:val="7B3A3F28"/>
    <w:rsid w:val="7BFF6BFE"/>
    <w:rsid w:val="7C03215E"/>
    <w:rsid w:val="7C0323A6"/>
    <w:rsid w:val="7C290923"/>
    <w:rsid w:val="7E80646A"/>
    <w:rsid w:val="7F2A369C"/>
    <w:rsid w:val="7F4E2B7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未处理的提及1"/>
    <w:basedOn w:val="21"/>
    <w:unhideWhenUsed/>
    <w:qFormat/>
    <w:uiPriority w:val="99"/>
    <w:rPr>
      <w:color w:val="605E5C"/>
      <w:shd w:val="clear" w:color="auto" w:fill="E1DFDD"/>
    </w:rPr>
  </w:style>
  <w:style w:type="character" w:customStyle="1" w:styleId="72">
    <w:name w:val="@他1"/>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4">
    <w:name w:val="首标题"/>
    <w:qFormat/>
    <w:uiPriority w:val="0"/>
    <w:rPr>
      <w:rFonts w:ascii="Arial" w:hAnsi="Arial" w:eastAsia="宋体"/>
      <w:sz w:val="24"/>
      <w:lang w:val="en-US" w:eastAsia="zh-CN" w:bidi="ar-SA"/>
    </w:rPr>
  </w:style>
  <w:style w:type="paragraph" w:customStyle="1" w:styleId="75">
    <w:name w:val="修订2"/>
    <w:hidden/>
    <w:semiHidden/>
    <w:qFormat/>
    <w:uiPriority w:val="99"/>
    <w:rPr>
      <w:rFonts w:ascii="Arial" w:hAnsi="Arial" w:eastAsia="Times New Roman" w:cs="Times New Roman"/>
      <w:lang w:val="en-GB" w:eastAsia="zh-CN" w:bidi="ar-SA"/>
    </w:rPr>
  </w:style>
  <w:style w:type="paragraph" w:customStyle="1" w:styleId="76">
    <w:name w:val="修订3"/>
    <w:hidden/>
    <w:semiHidden/>
    <w:qFormat/>
    <w:uiPriority w:val="99"/>
    <w:rPr>
      <w:rFonts w:ascii="Arial" w:hAnsi="Arial" w:eastAsia="Times New Roman" w:cs="Times New Roman"/>
      <w:lang w:val="en-GB" w:eastAsia="zh-CN" w:bidi="ar-SA"/>
    </w:rPr>
  </w:style>
  <w:style w:type="paragraph" w:customStyle="1" w:styleId="77">
    <w:name w:val="Revision"/>
    <w:hidden/>
    <w:semiHidden/>
    <w:qFormat/>
    <w:uiPriority w:val="99"/>
    <w:rPr>
      <w:rFonts w:ascii="Arial" w:hAnsi="Arial" w:eastAsia="Times New Roman" w:cs="Times New Roman"/>
      <w:lang w:val="en-GB" w:eastAsia="zh-CN" w:bidi="ar-SA"/>
    </w:rPr>
  </w:style>
  <w:style w:type="paragraph" w:customStyle="1" w:styleId="78">
    <w:name w:val="listparagraph3"/>
    <w:basedOn w:val="1"/>
    <w:semiHidden/>
    <w:qFormat/>
    <w:uiPriority w:val="0"/>
    <w:pPr>
      <w:spacing w:after="100" w:afterAutospacing="1"/>
    </w:pPr>
    <w:rPr>
      <w:rFonts w:ascii="Calibri" w:hAnsi="Calibri" w:eastAsia="宋体" w:cs="Calibri"/>
    </w:rPr>
  </w:style>
  <w:style w:type="character" w:customStyle="1" w:styleId="79">
    <w:name w:val="15"/>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datastoreItem>
</file>

<file path=customXml/itemProps2.xml><?xml version="1.0" encoding="utf-8"?>
<ds:datastoreItem xmlns:ds="http://schemas.openxmlformats.org/officeDocument/2006/customXml" ds:itemID="{4C4EBDAD-F25C-4923-B5F8-0F15B0BFAADC}">
  <ds:schemaRefs/>
</ds:datastoreItem>
</file>

<file path=customXml/itemProps3.xml><?xml version="1.0" encoding="utf-8"?>
<ds:datastoreItem xmlns:ds="http://schemas.openxmlformats.org/officeDocument/2006/customXml" ds:itemID="{FB6DDB7C-9959-4AEC-AA49-498A6EC77218}">
  <ds:schemaRefs/>
</ds:datastoreItem>
</file>

<file path=customXml/itemProps4.xml><?xml version="1.0" encoding="utf-8"?>
<ds:datastoreItem xmlns:ds="http://schemas.openxmlformats.org/officeDocument/2006/customXml" ds:itemID="{AFD3527F-078C-46FF-917C-D402B9DBDD85}">
  <ds:schemaRefs/>
</ds:datastoreItem>
</file>

<file path=customXml/itemProps5.xml><?xml version="1.0" encoding="utf-8"?>
<ds:datastoreItem xmlns:ds="http://schemas.openxmlformats.org/officeDocument/2006/customXml" ds:itemID="{AB067330-89E3-4362-9022-7EE22BBAB73C}">
  <ds:schemaRefs/>
</ds:datastoreItem>
</file>

<file path=customXml/itemProps6.xml><?xml version="1.0" encoding="utf-8"?>
<ds:datastoreItem xmlns:ds="http://schemas.openxmlformats.org/officeDocument/2006/customXml" ds:itemID="{DE493EDE-3679-4263-A95C-CB3FBE678763}">
  <ds:schemaRefs/>
</ds:datastoreItem>
</file>

<file path=docProps/app.xml><?xml version="1.0" encoding="utf-8"?>
<Properties xmlns="http://schemas.openxmlformats.org/officeDocument/2006/extended-properties" xmlns:vt="http://schemas.openxmlformats.org/officeDocument/2006/docPropsVTypes">
  <Template>Normal</Template>
  <Pages>3</Pages>
  <Words>1060</Words>
  <Characters>6048</Characters>
  <Lines>50</Lines>
  <Paragraphs>14</Paragraphs>
  <TotalTime>55</TotalTime>
  <ScaleCrop>false</ScaleCrop>
  <LinksUpToDate>false</LinksUpToDate>
  <CharactersWithSpaces>7094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R3-232160</cp:lastModifiedBy>
  <dcterms:modified xsi:type="dcterms:W3CDTF">2023-05-12T06:06:16Z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2052-11.8.2.11824</vt:lpwstr>
  </property>
  <property fmtid="{D5CDD505-2E9C-101B-9397-08002B2CF9AE}" pid="20" name="ICV">
    <vt:lpwstr>E6FC125F072D40CE9C9CE9F80164E99B</vt:lpwstr>
  </property>
</Properties>
</file>